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Solución del caso de IVA en importaciones para FP</w:t>
      </w:r>
    </w:p>
    <w:p>
      <w:r>
        <w:t>Guía docente del caso original de Aula Comercio. Usa los mismos datos de la ficha del alumnado y la hoja XLSX. No reproduce un solucionario del manual. Todos los importes están en euros.</w:t>
      </w:r>
    </w:p>
    <w:p>
      <w:r>
        <w:rPr>
          <w:b/>
        </w:rPr>
        <w:t>Simulación de aula. La tasa de 2 euros se utiliza como hipótesis de eventual aplicación. Las guías europeas de 5 y 6 de octubre de 2026 prevén el 1 de noviembre, sujeto a confirmación normativa. La nota AEAT del 14 de octubre describe pruebas H1, no acredita un cobro en producción. Revisa normas e instrucciones antes de un uso real.</w:t>
      </w:r>
    </w:p>
    <w:p>
      <w:r>
        <w:rPr>
          <w:b w:val="0"/>
        </w:rPr>
        <w:t>Condiciones compartidas: consumidor en península española; mercancía 90 euros y transporte separado 10 euros; valor intrínseco 90; valor en aduana y base previa a cargos 100; un solo item; derecho 3; tasa simulada 2; tipo 21 % fijado para el bien del ejercicio. Sin preferencias, impuestos especiales, comisiones ni más ajustes. Se asume admisibilidad de cada régimen y derecho temporal aplicable también sin IOSS.</w:t>
      </w:r>
    </w:p>
    <w:p>
      <w:pPr>
        <w:pStyle w:val="Heading1"/>
      </w:pPr>
      <w:r>
        <w:t>Cálculos y pagos por escenario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/>
          <w:cantSplit/>
        </w:trPr>
        <w:tc>
          <w:tcPr>
            <w:tcW w:type="dxa" w:w="22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Escenario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Base del IVA</w:t>
            </w:r>
          </w:p>
        </w:tc>
        <w:tc>
          <w:tcPr>
            <w:tcW w:type="dxa" w:w="11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Cuota</w:t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Pago al vender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Pago posterior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Total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A · IOSS, cargos al vender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105,00 (venta)</w:t>
            </w:r>
          </w:p>
        </w:tc>
        <w:tc>
          <w:tcPr>
            <w:tcW w:type="dxa" w:w="11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22,05</w:t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127,05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0,00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127,05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B · IOSS, cargos después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100,00 (venta)</w:t>
            </w:r>
          </w:p>
        </w:tc>
        <w:tc>
          <w:tcPr>
            <w:tcW w:type="dxa" w:w="11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21,00</w:t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121,00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5,00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126,00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C · SA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105,00 (importación)</w:t>
            </w:r>
          </w:p>
        </w:tc>
        <w:tc>
          <w:tcPr>
            <w:tcW w:type="dxa" w:w="11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22,05</w:t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100,00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27,05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127,05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 · Normal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105,00 (importación)</w:t>
            </w:r>
          </w:p>
        </w:tc>
        <w:tc>
          <w:tcPr>
            <w:tcW w:type="dxa" w:w="113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22,05</w:t>
            </w:r>
          </w:p>
        </w:tc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100,00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27,05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127,05</w:t>
            </w:r>
          </w:p>
        </w:tc>
      </w:tr>
    </w:tbl>
    <w:p>
      <w:pPr>
        <w:spacing w:after="40"/>
      </w:pPr>
    </w:p>
    <w:p>
      <w:pPr>
        <w:pStyle w:val="Heading1"/>
      </w:pPr>
      <w:r>
        <w:t>A IOSS con cargos al vender</w:t>
      </w:r>
    </w:p>
    <w:p>
      <w:r>
        <w:rPr>
          <w:b w:val="0"/>
        </w:rPr>
        <w:t>Base de la venta = 90 + 10 + 3 + 2 = 105. Cuota = 105 × 21 % = 22,05. Pago al vendedor = 105 + 22,05 = 127,05. No se vuelve a cobrar IVA de importación ni los cargos ya repercutidos en este supuesto.</w:t>
      </w:r>
    </w:p>
    <w:p>
      <w:pPr>
        <w:pStyle w:val="Heading1"/>
      </w:pPr>
      <w:r>
        <w:t>B IOSS con cargos después</w:t>
      </w:r>
    </w:p>
    <w:p>
      <w:r>
        <w:rPr>
          <w:b w:val="0"/>
        </w:rPr>
        <w:t>Base de la venta = 90 + 10 = 100. Cuota IOSS = 21. Se pagan 121 al vendedor y 3 + 2 = 5 después. Total 126. La exención IOSS de importación evita sumar otro IVA sobre esos cargos en ese momento.</w:t>
      </w:r>
    </w:p>
    <w:p>
      <w:pPr>
        <w:pStyle w:val="Heading1"/>
      </w:pPr>
      <w:r>
        <w:t>C Acuerdos especiales y D procedimiento normal</w:t>
      </w:r>
    </w:p>
    <w:p>
      <w:r>
        <w:rPr>
          <w:b w:val="0"/>
        </w:rPr>
        <w:t>Base de importación = 100 + 3 + 2 = 105. Cuota = 22,05. Se pagan 100 al vendedor y 3 + 2 + 22,05 = 27,05 al importar. Total 127,05. En SA el operador recauda el IVA del cliente.</w:t>
      </w:r>
    </w:p>
    <w:p>
      <w:r>
        <w:rPr>
          <w:b w:val="0"/>
        </w:rPr>
        <w:t>La diferencia A frente a B es 1,05, el 21 % de los cargos de 5. Depende del momento de repercusión asumido en este caso. No implica que los regímenes sean libremente intercambiables ni propone una estrategia fiscal.</w:t>
      </w:r>
    </w:p>
    <w:p>
      <w:r>
        <w:br w:type="page"/>
      </w:r>
    </w:p>
    <w:p>
      <w:pPr>
        <w:pStyle w:val="Heading1"/>
      </w:pPr>
      <w:r>
        <w:t>Criterios de evaluación</w:t>
      </w:r>
    </w:p>
    <w:p>
      <w:r>
        <w:rPr>
          <w:b w:val="0"/>
        </w:rPr>
        <w:t>Cuatro criterios de 0 a 2 puntos. Máximo 8. Comparte esta rúbrica antes del ejercicio.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  <w:cantSplit/>
        </w:trPr>
        <w:tc>
          <w:tcPr>
            <w:tcW w:type="dxa" w:w="158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Criterio</w:t>
            </w:r>
          </w:p>
        </w:tc>
        <w:tc>
          <w:tcPr>
            <w:tcW w:type="dxa" w:w="300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2 puntos</w:t>
            </w:r>
          </w:p>
        </w:tc>
        <w:tc>
          <w:tcPr>
            <w:tcW w:type="dxa" w:w="272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1 punto</w:t>
            </w:r>
          </w:p>
        </w:tc>
        <w:tc>
          <w:tcPr>
            <w:tcW w:type="dxa" w:w="255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19"/>
              </w:rPr>
              <w:t>0 puntos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Interpretación</w:t>
            </w:r>
          </w:p>
        </w:tc>
        <w:tc>
          <w:tcPr>
            <w:tcW w:type="dxa" w:w="300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Distingue regímenes, conceptos y condiciones asumidas.</w:t>
            </w:r>
          </w:p>
        </w:tc>
        <w:tc>
          <w:tcPr>
            <w:tcW w:type="dxa" w:w="272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Reconoce parte de las condiciones, con alguna confusión.</w:t>
            </w:r>
          </w:p>
        </w:tc>
        <w:tc>
          <w:tcPr>
            <w:tcW w:type="dxa" w:w="255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Mezcla regímenes o confunde tasa y comisión comercial.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Base y cuota</w:t>
            </w:r>
          </w:p>
        </w:tc>
        <w:tc>
          <w:tcPr>
            <w:tcW w:type="dxa" w:w="300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Calcula las cuatro bases y cuotas y justifica su tratamiento.</w:t>
            </w:r>
          </w:p>
        </w:tc>
        <w:tc>
          <w:tcPr>
            <w:tcW w:type="dxa" w:w="272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Tiene un error parcial, con método reconocible.</w:t>
            </w:r>
          </w:p>
        </w:tc>
        <w:tc>
          <w:tcPr>
            <w:tcW w:type="dxa" w:w="255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Aplica el mismo tratamiento a todos sin justificación.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Pagos</w:t>
            </w:r>
          </w:p>
        </w:tc>
        <w:tc>
          <w:tcPr>
            <w:tcW w:type="dxa" w:w="300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Concilia vendedor, pago posterior y total sin duplicar conceptos.</w:t>
            </w:r>
          </w:p>
        </w:tc>
        <w:tc>
          <w:tcPr>
            <w:tcW w:type="dxa" w:w="272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Hay una omisión o suma incorrecta aislada.</w:t>
            </w:r>
          </w:p>
        </w:tc>
        <w:tc>
          <w:tcPr>
            <w:tcW w:type="dxa" w:w="255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Duplica IVA o cargos y no concilia el total.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Fuentes y fechas</w:t>
            </w:r>
          </w:p>
        </w:tc>
        <w:tc>
          <w:tcPr>
            <w:tcW w:type="dxa" w:w="300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Cita versión y apartado; conserva provisionalidad y límites del caso.</w:t>
            </w:r>
          </w:p>
        </w:tc>
        <w:tc>
          <w:tcPr>
            <w:tcW w:type="dxa" w:w="272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Cita fuente con versión o condiciones incompletas.</w:t>
            </w:r>
          </w:p>
        </w:tc>
        <w:tc>
          <w:tcPr>
            <w:tcW w:type="dxa" w:w="255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19"/>
              </w:rPr>
              <w:t>Da la tasa por vigente o presenta la hoja como cálculo universal.</w:t>
            </w:r>
          </w:p>
        </w:tc>
      </w:tr>
    </w:tbl>
    <w:p>
      <w:pPr>
        <w:spacing w:after="40"/>
      </w:pPr>
    </w:p>
    <w:p>
      <w:pPr>
        <w:pStyle w:val="Heading1"/>
      </w:pPr>
      <w:r>
        <w:t>Preguntas para la puesta en común</w:t>
      </w:r>
    </w:p>
    <w:p>
      <w:r>
        <w:rPr>
          <w:b w:val="0"/>
        </w:rPr>
        <w:t>Respuesta de lectura H1: la nota AEAT del 14 octubre habilita pruebas en tres posiciones; la medida de tasa usa Y126 y la arancelaria solicita identificadores de producto. En pruebas se incluye la tasa en la base del IVA. Esto no acredita un cobro efectivo: faltan norma y fecha aplicables e instrucciones de producción. No cambia los supuestos de A a D. Pide justificar el resultado antes de aceptar la cifra de la hoja.</w:t>
      </w:r>
    </w:p>
    <w:p>
      <w:pPr>
        <w:pStyle w:val="Heading1"/>
      </w:pPr>
      <w:r>
        <w:t>Variación con tasa simulada de cero</w:t>
      </w:r>
    </w:p>
    <w:p>
      <w:r>
        <w:rPr>
          <w:b w:val="0"/>
        </w:rPr>
        <w:t>Manteniendo lo demás: A, C y D tienen base 103, cuota 21,63 y total 124,63. B mantiene base 100 y cuota 21; paga después 3, total 124. Cero es una entrada de simulación, no una exención general.</w:t>
      </w:r>
    </w:p>
    <w:p>
      <w:pPr>
        <w:pStyle w:val="Heading1"/>
      </w:pPr>
      <w:r>
        <w:t>Fuentes y actualización</w:t>
      </w:r>
    </w:p>
    <w:p>
      <w:r>
        <w:rPr>
          <w:b w:val="0"/>
        </w:rPr>
        <w:t>Revisión 15 octubre 2026. Addendum IVA: IOSS, SA y normal; guía aduanera: apartados 1, 3, 5 y 9. Se incorpora la nota H1 del 14 octubre. Verifica por separado H7, norma, fecha efectiva y producción. El 1 noviembre sigue como previsión de las guías. Adapta el caso al grupo y contrasta normas e instrucciones antes de una operación real.</w:t>
      </w:r>
    </w:p>
    <w:p>
      <w:r>
        <w:rPr>
          <w:b w:val="0"/>
          <w:sz w:val="16"/>
        </w:rPr>
        <w:t>AEAT · Información complementaria H1 y pruebas con Y126, 14/10/2026</w:t>
        <w:br/>
        <w:t>https://sede.agenciatributaria.gob.es/Sede/aduanas/novedades/2026/octubre/14/nueva-version-informacion-complementaria-guia-importacion.html</w:t>
      </w:r>
    </w:p>
    <w:p>
      <w:r>
        <w:rPr>
          <w:b w:val="0"/>
          <w:sz w:val="16"/>
        </w:rPr>
        <w:t>Comisión Europea · Addendum IVA revisado el 6/10/2026, apartados IOSS, SA y normal</w:t>
        <w:br/>
        <w:t>https://vat-one-stop-shop.ec.europa.eu/document/download/3086db0e-7b4a-4202-9f38-d32bd774f5a8_en?filename=20260821_VAT+guidelines-3+EUR+Customs+duty_revised.pdf</w:t>
      </w:r>
    </w:p>
    <w:p>
      <w:r>
        <w:rPr>
          <w:b w:val="0"/>
          <w:sz w:val="16"/>
        </w:rPr>
        <w:t>Comisión Europea · Guía aduanera, versión 5/10/2026, apartados 1, 3, 5 y 9</w:t>
        <w:br/>
        <w:t>https://taxation-customs.ec.europa.eu/document/download/053e5b4e-f0be-4f20-9a23-3e3b659a6676_en?filename=Customs+Guidance+on+EUR+3+customs+duty.pdf</w:t>
      </w:r>
    </w:p>
    <w:p>
      <w:r>
        <w:rPr>
          <w:b w:val="0"/>
        </w:rPr>
        <w:t>Manual relacionado: Gestión administrativa del comercio internacional, 3.ª edición 2026, ISBN 9788428373104. La actividad complementa sus contenidos sobre importación e IVA. Solicitud de recursos docentes: profesores.paraninfo.es.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Recursos Paraninfo  |  Caso ficticio  |  Versión 15 octubre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Solución del caso de IVA en importaciones para FP</dc:title>
  <dc:subject>Material docente editable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