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IVA y tasa de gestión en importaciones para FP</w:t>
      </w:r>
    </w:p>
    <w:p>
      <w:r>
        <w:t>Ficha del alumnado. Compara cuatro alternativas de una compra ficticia. Justifica la base del IVA y separa el pago al vendedor del pago posterior. Tiempo orientativo 60 minutos. Todos los importes están en euros.</w:t>
      </w:r>
    </w:p>
    <w:p>
      <w:r>
        <w:rPr>
          <w:b w:val="0"/>
        </w:rPr>
        <w:t>Nombre o equipo ____________________  Grupo __________  Fecha __________</w:t>
      </w:r>
    </w:p>
    <w:p>
      <w:r>
        <w:rPr>
          <w:b/>
        </w:rPr>
        <w:t>Simulación de aula. La tasa de 2 euros se utiliza como hipótesis de eventual aplicación. Las guías europeas de 5 y 6 de octubre de 2026 prevén el 1 de noviembre, sujeto a confirmación normativa. La nota AEAT del 14 de octubre describe pruebas H1, no acredita un cobro en producción. Revisa normas e instrucciones antes de un uso real.</w:t>
      </w:r>
    </w:p>
    <w:p>
      <w:pPr>
        <w:pStyle w:val="Heading1"/>
      </w:pPr>
      <w:r>
        <w:t>Datos y condiciones de la compra</w:t>
      </w:r>
    </w:p>
    <w:p>
      <w:r>
        <w:rPr>
          <w:b w:val="0"/>
        </w:rPr>
        <w:t>Una persona consumidora en la península española compra un bien a Aula Comercio, vendedor ficticio situado fuera de la UE. La factura separa mercancía de 90 € y transporte de 10 €, ambos sin IVA. El bien se envía desde un tercer país al primer destino en España y se despacha a libre práctica. No existen otros gastos, seguros, descuentos ni ajustes.</w:t>
      </w:r>
    </w:p>
    <w:p>
      <w:r>
        <w:rPr>
          <w:b w:val="0"/>
        </w:rPr>
        <w:t>El supuesto fija un valor intrínseco de 90 €, valor en aduana de 100 € y base previa a derecho y tasa de 100 €. Se trata de un solo item, sin impuestos especiales ni preferencias arancelarias. El envío cumple las condiciones que permiten usar el derecho temporal de 3 € también en las variantes sin IOSS. Cada escenario es una alternativa completa: no se mezclan regímenes dentro de una misma operación.</w:t>
      </w:r>
    </w:p>
    <w:p>
      <w:r>
        <w:rPr>
          <w:b w:val="0"/>
        </w:rPr>
        <w:t>Se da por válida la identificación IOSS cuando se usa ese régimen, la admisibilidad de los acuerdos especiales en su escenario y la aplicación del 21 % al bien del ejercicio. El docente debe cambiar el planteamiento si cambia la mercancía, el territorio, el valor o el tratamiento aduanero. Todos los cálculos con la tasa de 2 € son simulaciones de su eventual aplicación.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rPr>
          <w:tblHeader/>
          <w:cantSplit/>
        </w:trPr>
        <w:tc>
          <w:tcPr>
            <w:tcW w:type="dxa" w:w="1134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004C91"/>
          </w:tcPr>
          <w:p>
            <w:pPr>
              <w:spacing w:after="40" w:before="40"/>
            </w:pPr>
            <w:r>
              <w:rPr>
                <w:b/>
                <w:color w:val="FFFFFF"/>
                <w:sz w:val="19"/>
              </w:rPr>
              <w:t>Escenario</w:t>
            </w:r>
          </w:p>
        </w:tc>
        <w:tc>
          <w:tcPr>
            <w:tcW w:type="dxa" w:w="2494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004C91"/>
          </w:tcPr>
          <w:p>
            <w:pPr>
              <w:spacing w:after="40" w:before="40"/>
            </w:pPr>
            <w:r>
              <w:rPr>
                <w:b/>
                <w:color w:val="FFFFFF"/>
                <w:sz w:val="19"/>
              </w:rPr>
              <w:t>Régimen</w:t>
            </w:r>
          </w:p>
        </w:tc>
        <w:tc>
          <w:tcPr>
            <w:tcW w:type="dxa" w:w="623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004C91"/>
          </w:tcPr>
          <w:p>
            <w:pPr>
              <w:spacing w:after="40" w:before="40"/>
            </w:pPr>
            <w:r>
              <w:rPr>
                <w:b/>
                <w:color w:val="FFFFFF"/>
                <w:sz w:val="19"/>
              </w:rPr>
              <w:t>Cuándo paga el consumidor el derecho y la tasa</w:t>
            </w:r>
          </w:p>
        </w:tc>
      </w:tr>
      <w:tr>
        <w:trPr>
          <w:cantSplit/>
        </w:trPr>
        <w:tc>
          <w:tcPr>
            <w:tcW w:type="dxa" w:w="1134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A</w:t>
            </w:r>
          </w:p>
        </w:tc>
        <w:tc>
          <w:tcPr>
            <w:tcW w:type="dxa" w:w="2494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IOSS</w:t>
            </w:r>
          </w:p>
        </w:tc>
        <w:tc>
          <w:tcPr>
            <w:tcW w:type="dxa" w:w="623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El vendedor cobra ambos importes al aceptar el pedido.</w:t>
            </w:r>
          </w:p>
        </w:tc>
      </w:tr>
      <w:tr>
        <w:trPr>
          <w:cantSplit/>
        </w:trPr>
        <w:tc>
          <w:tcPr>
            <w:tcW w:type="dxa" w:w="1134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B</w:t>
            </w:r>
          </w:p>
        </w:tc>
        <w:tc>
          <w:tcPr>
            <w:tcW w:type="dxa" w:w="2494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IOSS</w:t>
            </w:r>
          </w:p>
        </w:tc>
        <w:tc>
          <w:tcPr>
            <w:tcW w:type="dxa" w:w="623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El consumidor los paga después, al importar; no se incorporan al precio cobrado por el vendedor.</w:t>
            </w:r>
          </w:p>
        </w:tc>
      </w:tr>
      <w:tr>
        <w:trPr>
          <w:cantSplit/>
        </w:trPr>
        <w:tc>
          <w:tcPr>
            <w:tcW w:type="dxa" w:w="1134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C</w:t>
            </w:r>
          </w:p>
        </w:tc>
        <w:tc>
          <w:tcPr>
            <w:tcW w:type="dxa" w:w="2494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Acuerdos especiales (SA)</w:t>
            </w:r>
          </w:p>
        </w:tc>
        <w:tc>
          <w:tcPr>
            <w:tcW w:type="dxa" w:w="623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Después, al importar. El operador recauda el IVA de importación.</w:t>
            </w:r>
          </w:p>
        </w:tc>
      </w:tr>
      <w:tr>
        <w:trPr>
          <w:cantSplit/>
        </w:trPr>
        <w:tc>
          <w:tcPr>
            <w:tcW w:type="dxa" w:w="1134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D</w:t>
            </w:r>
          </w:p>
        </w:tc>
        <w:tc>
          <w:tcPr>
            <w:tcW w:type="dxa" w:w="2494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Procedimiento normal</w:t>
            </w:r>
          </w:p>
        </w:tc>
        <w:tc>
          <w:tcPr>
            <w:tcW w:type="dxa" w:w="623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Después, al importar. Se liquida IVA de importación.</w:t>
            </w:r>
          </w:p>
        </w:tc>
      </w:tr>
    </w:tbl>
    <w:p>
      <w:pPr>
        <w:spacing w:after="40"/>
      </w:pPr>
    </w:p>
    <w:p>
      <w:r>
        <w:rPr>
          <w:b w:val="0"/>
        </w:rPr>
        <w:t>No hay comisiones comerciales del transportista. Derecho de 3 euros y tasa simulada de 2 euros son conceptos distintos. El supuesto fija un solo item aduanero; no multipliques cargos por unidades físicas.</w:t>
      </w:r>
    </w:p>
    <w:p>
      <w:r>
        <w:br w:type="page"/>
      </w:r>
    </w:p>
    <w:p>
      <w:pPr>
        <w:pStyle w:val="Heading1"/>
      </w:pPr>
      <w:r>
        <w:t>Hoja de trabajo</w:t>
      </w:r>
    </w:p>
    <w:p>
      <w:r>
        <w:rPr>
          <w:b w:val="0"/>
        </w:rPr>
        <w:t>Resuelve primero sin mirar la solución. Escribe el cálculo en cada celda y redondea la cuota a dos decimales. En A y B anota IVA de la venta; en C y D, IVA de importación.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rPr>
          <w:tblHeader/>
          <w:cantSplit/>
        </w:trPr>
        <w:tc>
          <w:tcPr>
            <w:tcW w:type="dxa" w:w="2835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004C91"/>
          </w:tcPr>
          <w:p>
            <w:pPr>
              <w:spacing w:after="40" w:before="40"/>
            </w:pPr>
            <w:r>
              <w:rPr>
                <w:b/>
                <w:color w:val="FFFFFF"/>
                <w:sz w:val="19"/>
              </w:rPr>
              <w:t>Concepto</w:t>
            </w:r>
          </w:p>
        </w:tc>
        <w:tc>
          <w:tcPr>
            <w:tcW w:type="dxa" w:w="175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004C91"/>
          </w:tcPr>
          <w:p>
            <w:pPr>
              <w:spacing w:after="40" w:before="40"/>
            </w:pPr>
            <w:r>
              <w:rPr>
                <w:b/>
                <w:color w:val="FFFFFF"/>
                <w:sz w:val="19"/>
              </w:rPr>
              <w:t>A IOSS al vender</w:t>
            </w:r>
          </w:p>
        </w:tc>
        <w:tc>
          <w:tcPr>
            <w:tcW w:type="dxa" w:w="175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004C91"/>
          </w:tcPr>
          <w:p>
            <w:pPr>
              <w:spacing w:after="40" w:before="40"/>
            </w:pPr>
            <w:r>
              <w:rPr>
                <w:b/>
                <w:color w:val="FFFFFF"/>
                <w:sz w:val="19"/>
              </w:rPr>
              <w:t>B IOSS después</w:t>
            </w:r>
          </w:p>
        </w:tc>
        <w:tc>
          <w:tcPr>
            <w:tcW w:type="dxa" w:w="175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004C91"/>
          </w:tcPr>
          <w:p>
            <w:pPr>
              <w:spacing w:after="40" w:before="40"/>
            </w:pPr>
            <w:r>
              <w:rPr>
                <w:b/>
                <w:color w:val="FFFFFF"/>
                <w:sz w:val="19"/>
              </w:rPr>
              <w:t>C SA</w:t>
            </w:r>
          </w:p>
        </w:tc>
        <w:tc>
          <w:tcPr>
            <w:tcW w:type="dxa" w:w="175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004C91"/>
          </w:tcPr>
          <w:p>
            <w:pPr>
              <w:spacing w:after="40" w:before="40"/>
            </w:pPr>
            <w:r>
              <w:rPr>
                <w:b/>
                <w:color w:val="FFFFFF"/>
                <w:sz w:val="19"/>
              </w:rPr>
              <w:t>D Normal</w:t>
            </w:r>
          </w:p>
        </w:tc>
      </w:tr>
      <w:tr>
        <w:trPr>
          <w:cantSplit/>
          <w:trHeight w:val="454"/>
        </w:trPr>
        <w:tc>
          <w:tcPr>
            <w:tcW w:type="dxa" w:w="2835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Mercancía y transporte sin IVA</w:t>
            </w:r>
          </w:p>
        </w:tc>
        <w:tc>
          <w:tcPr>
            <w:tcW w:type="dxa" w:w="175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175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175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175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rPr>
          <w:cantSplit/>
          <w:trHeight w:val="454"/>
        </w:trPr>
        <w:tc>
          <w:tcPr>
            <w:tcW w:type="dxa" w:w="2835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Derecho y tasa dentro de la base</w:t>
            </w:r>
          </w:p>
        </w:tc>
        <w:tc>
          <w:tcPr>
            <w:tcW w:type="dxa" w:w="175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175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175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175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rPr>
          <w:cantSplit/>
          <w:trHeight w:val="454"/>
        </w:trPr>
        <w:tc>
          <w:tcPr>
            <w:tcW w:type="dxa" w:w="2835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Base del IVA y fórmula</w:t>
            </w:r>
          </w:p>
        </w:tc>
        <w:tc>
          <w:tcPr>
            <w:tcW w:type="dxa" w:w="175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175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175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175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rPr>
          <w:cantSplit/>
          <w:trHeight w:val="454"/>
        </w:trPr>
        <w:tc>
          <w:tcPr>
            <w:tcW w:type="dxa" w:w="2835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Cuota de IVA al 21 %</w:t>
            </w:r>
          </w:p>
        </w:tc>
        <w:tc>
          <w:tcPr>
            <w:tcW w:type="dxa" w:w="175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175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175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175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rPr>
          <w:cantSplit/>
          <w:trHeight w:val="454"/>
        </w:trPr>
        <w:tc>
          <w:tcPr>
            <w:tcW w:type="dxa" w:w="2835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Pago al vendedor</w:t>
            </w:r>
          </w:p>
        </w:tc>
        <w:tc>
          <w:tcPr>
            <w:tcW w:type="dxa" w:w="175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175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175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175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rPr>
          <w:cantSplit/>
          <w:trHeight w:val="454"/>
        </w:trPr>
        <w:tc>
          <w:tcPr>
            <w:tcW w:type="dxa" w:w="2835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Pago posterior</w:t>
            </w:r>
          </w:p>
        </w:tc>
        <w:tc>
          <w:tcPr>
            <w:tcW w:type="dxa" w:w="175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175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175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175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rPr>
          <w:cantSplit/>
          <w:trHeight w:val="454"/>
        </w:trPr>
        <w:tc>
          <w:tcPr>
            <w:tcW w:type="dxa" w:w="2835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Desembolso total</w:t>
            </w:r>
          </w:p>
        </w:tc>
        <w:tc>
          <w:tcPr>
            <w:tcW w:type="dxa" w:w="175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175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175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175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</w:r>
          </w:p>
        </w:tc>
      </w:tr>
    </w:tbl>
    <w:p>
      <w:pPr>
        <w:spacing w:after="40"/>
      </w:pPr>
    </w:p>
    <w:p>
      <w:pPr>
        <w:pStyle w:val="Heading1"/>
      </w:pPr>
      <w:r>
        <w:t>Justifica y contrasta</w:t>
      </w:r>
    </w:p>
    <w:p>
      <w:r>
        <w:rPr>
          <w:b w:val="0"/>
        </w:rPr>
        <w:t>1. ¿Por qué cambia la base entre A y B? Cita apartado y versión de la guía de IVA.</w:t>
      </w:r>
    </w:p>
    <w:p>
      <w:r>
        <w:rPr>
          <w:b w:val="0"/>
        </w:rPr>
        <w:t>2. ¿Por qué C y D comparten cifras aunque el procedimiento sea diferente? ¿Quién recauda el IVA en C?</w:t>
      </w:r>
    </w:p>
    <w:p>
      <w:r>
        <w:rPr>
          <w:b w:val="0"/>
        </w:rPr>
        <w:t>3. Comprueba con la hoja XLSX los escenarios 1 a 4, equivalentes a A a D. Cambia solo la tasa simulada a 0 euros y repite. ¿Qué varía?</w:t>
      </w:r>
    </w:p>
    <w:p>
      <w:r>
        <w:rPr>
          <w:b w:val="0"/>
        </w:rPr>
        <w:t>4. Lee la nota AEAT del 14 octubre sobre H1. ¿Qué permite probar y qué referencia menciona? ¿Qué falta confirmar para afirmar un cobro real? Distingue pruebas, norma y aplicación efectiva.</w:t>
      </w:r>
    </w:p>
    <w:p>
      <w:r>
        <w:rPr>
          <w:b w:val="0"/>
        </w:rPr>
        <w:t>Justificación y fuente __________________________________________________________</w:t>
      </w:r>
    </w:p>
    <w:p>
      <w:r>
        <w:rPr>
          <w:b w:val="0"/>
        </w:rPr>
        <w:t>_____________________________________________________________________________</w:t>
      </w:r>
    </w:p>
    <w:p>
      <w:r>
        <w:rPr>
          <w:b w:val="0"/>
        </w:rPr>
        <w:t>_____________________________________________________________________________</w:t>
      </w:r>
    </w:p>
    <w:p>
      <w:r>
        <w:rPr>
          <w:b w:val="0"/>
        </w:rPr>
        <w:t>Continúa en otra hoja si lo necesitas. Entrega tabla, justificación y versión de las fuentes. La guía docente valora interpretación, cálculo, pagos y fuentes con un máximo de 8 puntos.</w:t>
      </w:r>
    </w:p>
    <w:p>
      <w:r>
        <w:rPr>
          <w:b w:val="0"/>
        </w:rPr>
        <w:t>Fuentes: addendum de IVA revisado el 6 octubre 2026, apartados IOSS, SA y normal; nota AEAT H1 del 14 octubre 2026. Enlaces en el recurso y la solución docente.</w:t>
      </w:r>
    </w:p>
    <w:sectPr w:rsidR="00FC693F" w:rsidRPr="0006063C" w:rsidSect="00034616">
      <w:footerReference w:type="default" r:id="rId9"/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Recursos Paraninfo  |  Caso ficticio  |  Versión 15 octubre 2026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5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59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IVA y tasa de gestión en importaciones para FP</dc:title>
  <dc:subject>Material docente editable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