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Solución y rúbrica del caso de phishing</w:t>
      </w:r>
    </w:p>
    <w:p>
      <w:r>
        <w:t>Guía docente del caso original de Suministros Norte. Orienta la puesta en común y la evaluación. Acepta alternativas justificadas que respeten los hechos, las responsabilidades y la protección de evidencias.</w:t>
      </w:r>
    </w:p>
    <w:p>
      <w:pPr>
        <w:pStyle w:val="Heading1"/>
      </w:pPr>
      <w:r>
        <w:t>Hechos e información pendiente</w:t>
      </w:r>
    </w:p>
    <w:p>
      <w:r>
        <w:rPr>
          <w:b w:val="0"/>
        </w:rPr>
        <w:t>E2 declara entrega de credenciales; E3 registra el aviso a las 09:06; E4 confirma a las 09:10 que informática no pidió la renovación. La cuenta de correo requiere atención prioritaria. No está confirmado un acceso al buzón ni una extracción de información.</w:t>
      </w:r>
    </w:p>
    <w:p>
      <w:pPr>
        <w:pStyle w:val="Heading1"/>
      </w:pPr>
      <w:r>
        <w:t>Respuesta orientativa</w:t>
      </w:r>
    </w:p>
    <w:p>
      <w:r>
        <w:rPr>
          <w:b w:val="0"/>
        </w:rPr>
        <w:t>La persona afectada informa por el canal interno, deja de interactuar con el mensaje y aporta la cronología sin compartir contraseñas. La comunicación temprana permite que el equipo técnico valore el riesgo.</w:t>
      </w:r>
    </w:p>
    <w:p>
      <w:r>
        <w:rPr>
          <w:b w:val="0"/>
        </w:rPr>
        <w:t>El responsable técnico valora cambio de credenciales desde el servicio legítimo y revocación de sesiones o tokens según el sistema. Revisa accesos, métodos de recuperación, reglas de reenvío y MFA. Si hubo reutilización de la clave, identifica otras cuentas afectadas. El cambio de clave o MFA no descartan un acceso previo.</w:t>
      </w:r>
    </w:p>
    <w:p>
      <w:r>
        <w:rPr>
          <w:b w:val="0"/>
        </w:rPr>
        <w:t>Conserva mensaje original, cabeceras y registros pertinentes con acceso autorizado; anota cada acción y resultado. La contención urgente y la preservación deben coordinarse: no esperes al final de toda la investigación para proteger la cuenta.</w:t>
      </w:r>
    </w:p>
    <w:p>
      <w:r>
        <w:rPr>
          <w:b w:val="0"/>
        </w:rPr>
        <w:t>El alcance determina el seguimiento y las comunicaciones que procedan. El supuesto no permite afirmar una filtración ni fijar un plazo legal universal. El incidente sigue abierto hasta verificar las medidas y documentar los hallazgos.</w:t>
      </w:r>
    </w:p>
    <w:p>
      <w:pPr>
        <w:pStyle w:val="Heading1"/>
      </w:pPr>
      <w:r>
        <w:t>Ejemplo de registro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Hora y evidencia</w:t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Hecho o decisión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357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Estado y siguiente paso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09:06 · E3</w:t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Aviso interno: se declara entrega de credenciales.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Persona afectada y soporte</w:t>
            </w:r>
          </w:p>
        </w:tc>
        <w:tc>
          <w:tcPr>
            <w:tcW w:type="dxa" w:w="357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Aviso realizado. Falta investigar el uso de la cuenta.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09:10 · E4</w:t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Informática confirma que no pidió la renovación.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Soporte interno</w:t>
            </w:r>
          </w:p>
        </w:tc>
        <w:tc>
          <w:tcPr>
            <w:tcW w:type="dxa" w:w="357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Confirmación recibida. Valorar protección de la cuenta.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Hora por completar</w:t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Proponer cambio de credenciales, revisión y revocación de sesiones según el sistema.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Responsable técnico</w:t>
            </w:r>
          </w:p>
        </w:tc>
        <w:tc>
          <w:tcPr>
            <w:tcW w:type="dxa" w:w="357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Pendiente en la simulación. Registrar ejecución y resultado.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Hora por completar</w:t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Conservar correo y registros, investigar accesos y posibles cambios.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Responsable técnico</w:t>
            </w:r>
          </w:p>
        </w:tc>
        <w:tc>
          <w:tcPr>
            <w:tcW w:type="dxa" w:w="357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Pendiente. Documentar hallazgos y límites de la revisión.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Rúbrica de evaluación</w:t>
      </w:r>
    </w:p>
    <w:p>
      <w:r>
        <w:rPr>
          <w:b w:val="0"/>
        </w:rPr>
        <w:t>Cuatro criterios de 0 a 2 puntos. Máximo 8. Comparte los criterios antes de comenzar y adapta el nivel técnico al grupo.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  <w:cantSplit/>
        </w:trPr>
        <w:tc>
          <w:tcPr>
            <w:tcW w:type="dxa" w:w="164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Criterio</w:t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2 puntos</w:t>
            </w:r>
          </w:p>
        </w:tc>
        <w:tc>
          <w:tcPr>
            <w:tcW w:type="dxa" w:w="277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1 punto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0 puntos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Evidencias</w:t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Distingue hechos e hipótesis y cita E1–E4.</w:t>
            </w:r>
          </w:p>
        </w:tc>
        <w:tc>
          <w:tcPr>
            <w:tcW w:type="dxa" w:w="277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Distingue parte de la información, con referencias incompletas.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Afirma accesos o daños sin evidencia.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Respuesta y roles</w:t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Prioriza protección y preservación; asigna acciones al rol adecuado y verifica resultados.</w:t>
            </w:r>
          </w:p>
        </w:tc>
        <w:tc>
          <w:tcPr>
            <w:tcW w:type="dxa" w:w="277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Propone medidas útiles, con responsables o seguimiento incompletos.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Omite la protección o destruye evidencias; da garantías sin comprobar.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Registro</w:t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Anota hora, referencia, decisión, responsable y estado sin contraseñas.</w:t>
            </w:r>
          </w:p>
        </w:tc>
        <w:tc>
          <w:tcPr>
            <w:tcW w:type="dxa" w:w="277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Faltan algunos campos o estados, pero conserva una cronología útil.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Confunde propuesta con ejecución o registra información sensible innecesaria.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Comunicación</w:t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Aviso claro, proporcional y con cuestiones pendientes y siguiente comprobación.</w:t>
            </w:r>
          </w:p>
        </w:tc>
        <w:tc>
          <w:tcPr>
            <w:tcW w:type="dxa" w:w="277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Aviso comprensible, con alguna omisión relevante.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No comunica o presenta hipótesis como hechos confirmados.</w:t>
            </w:r>
          </w:p>
        </w:tc>
      </w:tr>
    </w:tbl>
    <w:p>
      <w:pPr>
        <w:spacing w:after="40"/>
      </w:pPr>
    </w:p>
    <w:p>
      <w:pPr>
        <w:pStyle w:val="Heading1"/>
      </w:pPr>
      <w:r>
        <w:t>Ejemplo de aviso interno</w:t>
      </w:r>
    </w:p>
    <w:p>
      <w:r>
        <w:rPr>
          <w:b w:val="0"/>
        </w:rPr>
        <w:t>A las 09:04 he introducido las credenciales de mi correo en el enlace de E1. He avisado a soporte a las 09:06 y he dejado de interactuar con el mensaje. Informática ha confirmado a las 09:10 que no pidió esa renovación. Conservo el mensaje para su revisión. Solicito valorar la protección de la cuenta y comprobar accesos y configuración. Todavía no sabemos si alguien utilizó las credenciales; las medidas técnicas propuestas están pendientes de verificar.</w:t>
      </w:r>
    </w:p>
    <w:p>
      <w:pPr>
        <w:pStyle w:val="Heading1"/>
      </w:pPr>
      <w:r>
        <w:t>Adaptación y referencias</w:t>
      </w:r>
    </w:p>
    <w:p>
      <w:r>
        <w:rPr>
          <w:b w:val="0"/>
        </w:rPr>
        <w:t>Para reducir dificultad, usa una versión en la que solo se recibe el mensaje. Para ampliarla, añade registros sintéticos y pide justificar las nuevas conclusiones. Cambia también la solución y los criterios cuando cambien las evidencias.</w:t>
      </w:r>
    </w:p>
    <w:p>
      <w:r>
        <w:rPr>
          <w:b w:val="0"/>
        </w:rPr>
        <w:t>Material original complementario. No reproduce actividades ni el solucionario privado del manual de Paraninfo.</w:t>
      </w:r>
    </w:p>
    <w:p>
      <w:r>
        <w:rPr>
          <w:b w:val="0"/>
        </w:rPr>
        <w:t>INCIBE · Phishing: definición y recursos de prevención</w:t>
        <w:br/>
        <w:t>https://www.incibe.es/aprendeciberseguridad/phishing</w:t>
      </w:r>
    </w:p>
    <w:p>
      <w:r>
        <w:rPr>
          <w:b w:val="0"/>
        </w:rPr>
        <w:t>INCIBE · Guía de gestión de crisis de ciberseguridad en empresas</w:t>
        <w:br/>
        <w:t>https://www.incibe.es/sites/default/files/contenidos/guias/doc/guia_gestion_de_crisis.pdf</w:t>
      </w:r>
    </w:p>
    <w:p>
      <w:r>
        <w:rPr>
          <w:b w:val="0"/>
        </w:rPr>
        <w:t>Paraninfo · Incidentes de ciberseguridad, ISBN 9788428365413</w:t>
        <w:br/>
        <w:t>https://www.paraninfo.es/catalogo/9788428365413/incidentes-de-ciberseguridad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Recursos Paraninfo  |  Caso original ficticio  |  Octubre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Solución y rúbrica del caso de phishing</dc:title>
  <dc:subject>Material docente editable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