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Caso práctico de phishing para FP</w:t>
      </w:r>
    </w:p>
    <w:p>
      <w:r>
        <w:t>Ficha del alumnado. Analiza un incidente ficticio, propone una primera respuesta y documenta decisiones. El objetivo es justificar cada paso con evidencias y distinguir hechos de cuestiones pendientes.</w:t>
      </w:r>
    </w:p>
    <w:p>
      <w:r>
        <w:rPr>
          <w:b w:val="0"/>
        </w:rPr>
        <w:t>Equipo ____________________   Grupo ____________________   Fecha __________</w:t>
      </w:r>
    </w:p>
    <w:p>
      <w:r>
        <w:rPr>
          <w:b w:val="0"/>
        </w:rPr>
        <w:t>60 minutos en equipos de tres. Lectura 10 min; prioridades 15 min; registro y aviso 20 min; contraste y evaluación 15 min.</w:t>
      </w:r>
    </w:p>
    <w:p>
      <w:r>
        <w:rPr>
          <w:b/>
        </w:rPr>
        <w:t>Simulación de aula sobre el papel o en este documento. No envíes mensajes, abras enlaces ni uses credenciales reales. Todas las direcciones, horas y entidades son ficticias.</w:t>
      </w:r>
    </w:p>
    <w:p>
      <w:pPr>
        <w:pStyle w:val="Heading1"/>
      </w:pPr>
      <w:r>
        <w:t>El caso de Suministros Norte</w:t>
      </w:r>
    </w:p>
    <w:p>
      <w:r>
        <w:rPr>
          <w:b w:val="0"/>
        </w:rPr>
        <w:t>Suministros Norte es una distribuidora ficticia. Su equipo usa el correo para pedidos y comunicaciones con proveedores. A las 09:02, una persona de administración recibe un mensaje que afirma que su buzón se bloqueará si no renueva el acceso. El procedimiento interno establece que los problemas de cuenta se comunican a informática por el canal de soporte habitual.</w:t>
      </w:r>
    </w:p>
    <w:p>
      <w:r>
        <w:rPr>
          <w:b w:val="0"/>
        </w:rPr>
        <w:t>Remitente mostrado: Soporte de Suministros Norte. Dirección: soporte@norte-suministros.invalid. Asunto: Renueva tu acceso antes de las 10:00. Texto: Para evitar el bloqueo del buzón, confirma hoy tu usuario y contraseña. Enlace desactivado: hxxps://acceso.norte-suministros.invalid/verificar.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33"/>
        <w:gridCol w:w="4933"/>
      </w:tblGrid>
      <w:tr>
        <w:trPr>
          <w:tblHeader/>
          <w:cantSplit/>
        </w:trPr>
        <w:tc>
          <w:tcPr>
            <w:tcW w:type="dxa" w:w="175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004C91"/>
          </w:tcPr>
          <w:p>
            <w:pPr>
              <w:spacing w:after="40" w:before="40"/>
            </w:pPr>
            <w:r>
              <w:rPr>
                <w:b/>
                <w:color w:val="FFFFFF"/>
                <w:sz w:val="20"/>
              </w:rPr>
              <w:t>Referencia</w:t>
            </w:r>
          </w:p>
        </w:tc>
        <w:tc>
          <w:tcPr>
            <w:tcW w:type="dxa" w:w="810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004C91"/>
          </w:tcPr>
          <w:p>
            <w:pPr>
              <w:spacing w:after="40" w:before="40"/>
            </w:pPr>
            <w:r>
              <w:rPr>
                <w:b/>
                <w:color w:val="FFFFFF"/>
                <w:sz w:val="20"/>
              </w:rPr>
              <w:t>Hecho conocido</w:t>
            </w:r>
          </w:p>
        </w:tc>
      </w:tr>
      <w:tr>
        <w:trPr>
          <w:cantSplit/>
        </w:trPr>
        <w:tc>
          <w:tcPr>
            <w:tcW w:type="dxa" w:w="175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  <w:t>E1 · 09:02</w:t>
            </w:r>
          </w:p>
        </w:tc>
        <w:tc>
          <w:tcPr>
            <w:tcW w:type="dxa" w:w="810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  <w:t>Llega el mensaje que pide renovar las credenciales.</w:t>
            </w:r>
          </w:p>
        </w:tc>
      </w:tr>
      <w:tr>
        <w:trPr>
          <w:cantSplit/>
        </w:trPr>
        <w:tc>
          <w:tcPr>
            <w:tcW w:type="dxa" w:w="175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9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  <w:t>E2 · 09:04</w:t>
            </w:r>
          </w:p>
        </w:tc>
        <w:tc>
          <w:tcPr>
            <w:tcW w:type="dxa" w:w="810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9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  <w:t>La persona declara que abrió el enlace e introdujo las credenciales de su correo.</w:t>
            </w:r>
          </w:p>
        </w:tc>
      </w:tr>
      <w:tr>
        <w:trPr>
          <w:cantSplit/>
        </w:trPr>
        <w:tc>
          <w:tcPr>
            <w:tcW w:type="dxa" w:w="175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  <w:t>E3 · 09:06</w:t>
            </w:r>
          </w:p>
        </w:tc>
        <w:tc>
          <w:tcPr>
            <w:tcW w:type="dxa" w:w="810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  <w:t>La persona informa por el canal interno de soporte. Conserva el mensaje y declara que no descargó ningún archivo.</w:t>
            </w:r>
          </w:p>
        </w:tc>
      </w:tr>
      <w:tr>
        <w:trPr>
          <w:cantSplit/>
        </w:trPr>
        <w:tc>
          <w:tcPr>
            <w:tcW w:type="dxa" w:w="175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9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  <w:t>E4 · 09:10</w:t>
            </w:r>
          </w:p>
        </w:tc>
        <w:tc>
          <w:tcPr>
            <w:tcW w:type="dxa" w:w="810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9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  <w:t>Informática confirma por el canal interno que no solicitó esa renovación.</w:t>
            </w:r>
          </w:p>
        </w:tc>
      </w:tr>
    </w:tbl>
    <w:p>
      <w:pPr>
        <w:spacing w:after="40"/>
      </w:pPr>
    </w:p>
    <w:p>
      <w:r>
        <w:rPr>
          <w:b w:val="0"/>
        </w:rPr>
        <w:t>No se han revisado registros de acceso. Lectura de mensajes, cambios de configuración y extracción de información siguen sin confirmar.</w:t>
      </w:r>
    </w:p>
    <w:p>
      <w:r>
        <w:br w:type="page"/>
      </w:r>
    </w:p>
    <w:p>
      <w:pPr>
        <w:pStyle w:val="Heading1"/>
      </w:pPr>
      <w:r>
        <w:t>Tu análisis y la primera respuesta</w:t>
      </w:r>
    </w:p>
    <w:p>
      <w:r>
        <w:rPr>
          <w:b w:val="0"/>
        </w:rPr>
        <w:t>Cita tres hechos con sus referencias E1–E4 y dos cuestiones que requieren investigación.</w:t>
      </w:r>
    </w:p>
    <w:p>
      <w:r>
        <w:rPr>
          <w:b w:val="0"/>
        </w:rPr>
        <w:t>Propón prioridades y acciones por rol. Explica cómo proteger la cuenta, conservar evidencias y comprobar el alcance sin retrasar una contención urgente.</w:t>
      </w:r>
    </w:p>
    <w:p>
      <w:r>
        <w:rPr>
          <w:b w:val="0"/>
        </w:rPr>
        <w:t>Completa el registro con lo realizado en el caso y lo que propones. No anotes contraseñas ni marques una recomendación como ejecutada.</w:t>
      </w:r>
    </w:p>
    <w:p>
      <w:r>
        <w:rPr>
          <w:b w:val="0"/>
        </w:rPr>
        <w:t>Redacta un aviso interno de cinco a ocho líneas. Indica qué ocurrió, cuándo, qué se ha hecho y qué falta comprobar.</w:t>
      </w:r>
    </w:p>
    <w:p>
      <w:pPr>
        <w:pStyle w:val="Heading1"/>
      </w:pPr>
      <w:r>
        <w:t>Registro de incidentes</w:t>
      </w:r>
    </w:p>
    <w:p>
      <w:r>
        <w:rPr>
          <w:b w:val="0"/>
        </w:rPr>
        <w:t>Identificador __________  Cuenta o activo __________  Responsable de seguimiento 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rPr>
          <w:tblHeader/>
          <w:cantSplit/>
        </w:trPr>
        <w:tc>
          <w:tcPr>
            <w:tcW w:type="dxa" w:w="1701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004C91"/>
          </w:tcPr>
          <w:p>
            <w:pPr>
              <w:spacing w:after="40" w:before="40"/>
            </w:pPr>
            <w:r>
              <w:rPr>
                <w:b/>
                <w:color w:val="FFFFFF"/>
                <w:sz w:val="20"/>
              </w:rPr>
              <w:t>Hora y evidencia</w:t>
            </w:r>
          </w:p>
        </w:tc>
        <w:tc>
          <w:tcPr>
            <w:tcW w:type="dxa" w:w="2835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004C91"/>
          </w:tcPr>
          <w:p>
            <w:pPr>
              <w:spacing w:after="40" w:before="40"/>
            </w:pPr>
            <w:r>
              <w:rPr>
                <w:b/>
                <w:color w:val="FFFFFF"/>
                <w:sz w:val="20"/>
              </w:rPr>
              <w:t>Hecho o decisión</w:t>
            </w:r>
          </w:p>
        </w:tc>
        <w:tc>
          <w:tcPr>
            <w:tcW w:type="dxa" w:w="1701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004C91"/>
          </w:tcPr>
          <w:p>
            <w:pPr>
              <w:spacing w:after="40" w:before="40"/>
            </w:pPr>
            <w:r>
              <w:rPr>
                <w:b/>
                <w:color w:val="FFFFFF"/>
                <w:sz w:val="20"/>
              </w:rPr>
              <w:t>Responsable</w:t>
            </w:r>
          </w:p>
        </w:tc>
        <w:tc>
          <w:tcPr>
            <w:tcW w:type="dxa" w:w="362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004C91"/>
          </w:tcPr>
          <w:p>
            <w:pPr>
              <w:spacing w:after="40" w:before="40"/>
            </w:pPr>
            <w:r>
              <w:rPr>
                <w:b/>
                <w:color w:val="FFFFFF"/>
                <w:sz w:val="20"/>
              </w:rPr>
              <w:t>Estado y siguiente paso</w:t>
            </w:r>
          </w:p>
        </w:tc>
      </w:tr>
      <w:tr>
        <w:trPr>
          <w:cantSplit/>
          <w:trHeight w:val="567"/>
        </w:trPr>
        <w:tc>
          <w:tcPr>
            <w:tcW w:type="dxa" w:w="1701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</w:r>
          </w:p>
        </w:tc>
        <w:tc>
          <w:tcPr>
            <w:tcW w:type="dxa" w:w="2835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</w:r>
          </w:p>
        </w:tc>
        <w:tc>
          <w:tcPr>
            <w:tcW w:type="dxa" w:w="1701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</w:r>
          </w:p>
        </w:tc>
        <w:tc>
          <w:tcPr>
            <w:tcW w:type="dxa" w:w="362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</w:r>
          </w:p>
        </w:tc>
      </w:tr>
      <w:tr>
        <w:trPr>
          <w:cantSplit/>
          <w:trHeight w:val="567"/>
        </w:trPr>
        <w:tc>
          <w:tcPr>
            <w:tcW w:type="dxa" w:w="1701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9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</w:r>
          </w:p>
        </w:tc>
        <w:tc>
          <w:tcPr>
            <w:tcW w:type="dxa" w:w="2835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9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</w:r>
          </w:p>
        </w:tc>
        <w:tc>
          <w:tcPr>
            <w:tcW w:type="dxa" w:w="1701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9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</w:r>
          </w:p>
        </w:tc>
        <w:tc>
          <w:tcPr>
            <w:tcW w:type="dxa" w:w="362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9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</w:r>
          </w:p>
        </w:tc>
      </w:tr>
      <w:tr>
        <w:trPr>
          <w:cantSplit/>
          <w:trHeight w:val="567"/>
        </w:trPr>
        <w:tc>
          <w:tcPr>
            <w:tcW w:type="dxa" w:w="1701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</w:r>
          </w:p>
        </w:tc>
        <w:tc>
          <w:tcPr>
            <w:tcW w:type="dxa" w:w="2835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</w:r>
          </w:p>
        </w:tc>
        <w:tc>
          <w:tcPr>
            <w:tcW w:type="dxa" w:w="1701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</w:r>
          </w:p>
        </w:tc>
        <w:tc>
          <w:tcPr>
            <w:tcW w:type="dxa" w:w="362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</w:r>
          </w:p>
        </w:tc>
      </w:tr>
      <w:tr>
        <w:trPr>
          <w:cantSplit/>
          <w:trHeight w:val="567"/>
        </w:trPr>
        <w:tc>
          <w:tcPr>
            <w:tcW w:type="dxa" w:w="1701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9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</w:r>
          </w:p>
        </w:tc>
        <w:tc>
          <w:tcPr>
            <w:tcW w:type="dxa" w:w="2835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9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</w:r>
          </w:p>
        </w:tc>
        <w:tc>
          <w:tcPr>
            <w:tcW w:type="dxa" w:w="1701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9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</w:r>
          </w:p>
        </w:tc>
        <w:tc>
          <w:tcPr>
            <w:tcW w:type="dxa" w:w="362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9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</w:r>
          </w:p>
        </w:tc>
      </w:tr>
    </w:tbl>
    <w:p>
      <w:pPr>
        <w:spacing w:after="40"/>
      </w:pPr>
    </w:p>
    <w:p>
      <w:r>
        <w:rPr>
          <w:b w:val="0"/>
        </w:rPr>
        <w:t>Referencia y lugar autorizado de conservación de evidencias __________________________________</w:t>
      </w:r>
    </w:p>
    <w:p>
      <w:r>
        <w:rPr>
          <w:b w:val="0"/>
        </w:rPr>
        <w:t>Hechos e hipótesis y aviso interno</w:t>
      </w:r>
    </w:p>
    <w:p>
      <w:r>
        <w:rPr>
          <w:b w:val="0"/>
        </w:rPr>
        <w:t>________________________________________________________________________________</w:t>
      </w:r>
    </w:p>
    <w:p>
      <w:r>
        <w:rPr>
          <w:b w:val="0"/>
        </w:rPr>
        <w:t>________________________________________________________________________________</w:t>
      </w:r>
    </w:p>
    <w:p>
      <w:r>
        <w:rPr>
          <w:b w:val="0"/>
        </w:rPr>
        <w:t>Continúa en otra hoja si hace falta. Entrega análisis, registro y aviso. La rúbrica valora evidencias, respuesta y roles, registro y comunicación, con un máximo de 8 puntos.</w:t>
      </w:r>
    </w:p>
    <w:sectPr w:rsidR="00FC693F" w:rsidRPr="0006063C" w:rsidSect="00034616">
      <w:footerReference w:type="default" r:id="rId9"/>
      <w:pgSz w:w="11906" w:h="16838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Recursos Paraninfo  |  Caso original ficticio  |  Octubre 2026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2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40" w:line="259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40" w:line="259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59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Caso práctico de phishing para FP</dc:title>
  <dc:subject>Material docente editable</dc:subject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