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Solución del caso de refrigeración y rúbrica</w:t>
      </w:r>
    </w:p>
    <w:p>
      <w:r>
        <w:t>Guía docente orientativa de Frío Aula. Material original para contrastar el razonamiento del equipo. Adapta la dificultad y la evaluación a la programación del grupo; no es un procedimiento de intervención en una instalación.</w:t>
      </w:r>
    </w:p>
    <w:p>
      <w:pPr>
        <w:pStyle w:val="Heading1"/>
      </w:pPr>
      <w:r>
        <w:t>Hechos y cuestiones pendientes</w:t>
      </w:r>
    </w:p>
    <w:p>
      <w:r>
        <w:rPr>
          <w:b w:val="0"/>
        </w:rPr>
        <w:t>E1 registra una desviación térmica; E2 muestra un cambio de programación; E3 recoge que mantenimiento no lo autorizó. E4 documenta exposición remota y E5 una copia sin validación reciente. No están confirmados el origen del cambio, el uso de ese acceso ni el estado de la mercancía.</w:t>
      </w:r>
    </w:p>
    <w:p>
      <w:pPr>
        <w:pStyle w:val="Heading1"/>
      </w:pPr>
      <w:r>
        <w:t>Respuesta orientativa</w:t>
      </w:r>
    </w:p>
    <w:p>
      <w:r>
        <w:rPr>
          <w:b w:val="0"/>
        </w:rPr>
        <w:t>Operación activa el canal interno. Mantenimiento contrasta la situación del proceso con las evidencias disponibles. Calidad evalúa la mercancía y la trazabilidad conforme a sus procedimientos; informática no sustituye esa decisión.</w:t>
      </w:r>
    </w:p>
    <w:p>
      <w:r>
        <w:rPr>
          <w:b w:val="0"/>
        </w:rPr>
        <w:t>Informática y mantenimiento valoran restringir el acceso remoto preservando el control local y las funciones necesarias. La medida exige autorización, conocimiento de sus dependencias y registro. No se propone apagar toda la instalación ni desconectar indiscriminadamente.</w:t>
      </w:r>
    </w:p>
    <w:p>
      <w:r>
        <w:rPr>
          <w:b w:val="0"/>
        </w:rPr>
        <w:t>El equipo autorizado conserva configuración, eventos y registros disponibles, y documenta las actuaciones urgentes. Contrasta cambios y accesos con el proveedor. Exposición, uso del acceso y causa del incidente son conclusiones distintas.</w:t>
      </w:r>
    </w:p>
    <w:p>
      <w:r>
        <w:rPr>
          <w:b w:val="0"/>
        </w:rPr>
        <w:t>La copia de E5 debe validarse. El personal autorizado define la recuperación con documentación del fabricante, pruebas de funcionamiento, configuración, accesos y alarmas. Calidad y operación participan en la aceptación; una copia o un reinicio no acreditan la recuperación.</w:t>
      </w:r>
    </w:p>
    <w:p>
      <w:pPr>
        <w:pStyle w:val="Heading1"/>
      </w:pPr>
      <w:r>
        <w:t>Ejemplo de decisiones registradas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/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Decisión</w:t>
            </w:r>
          </w:p>
        </w:tc>
        <w:tc>
          <w:tcPr>
            <w:tcW w:type="dxa" w:w="32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Responsable y estado</w:t>
            </w:r>
          </w:p>
        </w:tc>
        <w:tc>
          <w:tcPr>
            <w:tcW w:type="dxa" w:w="351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Comprobación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Valorar restricción del acceso de R1.</w:t>
            </w:r>
          </w:p>
        </w:tc>
        <w:tc>
          <w:tcPr>
            <w:tcW w:type="dxa" w:w="32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Informática y mantenimiento. Propuesta.</w:t>
            </w:r>
          </w:p>
        </w:tc>
        <w:tc>
          <w:tcPr>
            <w:tcW w:type="dxa" w:w="351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Dependencias de control local y supervisión.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Validar la copia de E5.</w:t>
            </w:r>
          </w:p>
        </w:tc>
        <w:tc>
          <w:tcPr>
            <w:tcW w:type="dxa" w:w="32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Mantenimiento y proveedor. Pendiente.</w:t>
            </w:r>
          </w:p>
        </w:tc>
        <w:tc>
          <w:tcPr>
            <w:tcW w:type="dxa" w:w="351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Integridad, compatibilidad y prueba autorizada.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Aceptar la recuperación.</w:t>
            </w:r>
          </w:p>
        </w:tc>
        <w:tc>
          <w:tcPr>
            <w:tcW w:type="dxa" w:w="32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Operación, con validación técnica y de calidad. Pendiente.</w:t>
            </w:r>
          </w:p>
        </w:tc>
        <w:tc>
          <w:tcPr>
            <w:tcW w:type="dxa" w:w="351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Pruebas y criterios acordados, resultados y seguimiento.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Rúbrica de evaluación</w:t>
      </w:r>
    </w:p>
    <w:p>
      <w:r>
        <w:rPr>
          <w:b w:val="0"/>
        </w:rPr>
        <w:t>Cuatro criterios de 0 a 2 puntos. Máximo 8. Comparte los descriptores antes de comenzar y acepta otras respuestas justificadas.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blHeader/>
          <w:cantSplit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Criterio</w:t>
            </w:r>
          </w:p>
        </w:tc>
        <w:tc>
          <w:tcPr>
            <w:tcW w:type="dxa" w:w="28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2 puntos</w:t>
            </w:r>
          </w:p>
        </w:tc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1 punto</w:t>
            </w:r>
          </w:p>
        </w:tc>
        <w:tc>
          <w:tcPr>
            <w:tcW w:type="dxa" w:w="266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04C91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0 puntos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Evidencias</w:t>
            </w:r>
          </w:p>
        </w:tc>
        <w:tc>
          <w:tcPr>
            <w:tcW w:type="dxa" w:w="28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Cita E1–E5 y distingue hechos, hipótesis y comprobaciones.</w:t>
            </w:r>
          </w:p>
        </w:tc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Usa parte de las evidencias, con alguna conclusión poco justificada.</w:t>
            </w:r>
          </w:p>
        </w:tc>
        <w:tc>
          <w:tcPr>
            <w:tcW w:type="dxa" w:w="266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Atribuye causa, acceso o daño sin datos.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Roles y prioridades</w:t>
            </w:r>
          </w:p>
        </w:tc>
        <w:tc>
          <w:tcPr>
            <w:tcW w:type="dxa" w:w="28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Coordina proceso, calidad y contención; asigna responsables y autorización.</w:t>
            </w:r>
          </w:p>
        </w:tc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Propone acciones útiles, con coordinación o prioridades incompletas.</w:t>
            </w:r>
          </w:p>
        </w:tc>
        <w:tc>
          <w:tcPr>
            <w:tcW w:type="dxa" w:w="266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Actúa indiscriminadamente o decide fuera de su responsabilidad.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Registro</w:t>
            </w:r>
          </w:p>
        </w:tc>
        <w:tc>
          <w:tcPr>
            <w:tcW w:type="dxa" w:w="28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Distingue observado, propuesto y pendiente; documenta decisión y responsable.</w:t>
            </w:r>
          </w:p>
        </w:tc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El registro es útil, pero omite estados o referencias.</w:t>
            </w:r>
          </w:p>
        </w:tc>
        <w:tc>
          <w:tcPr>
            <w:tcW w:type="dxa" w:w="266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Confunde propuesta con ejecución o deja decisiones sin trazabilidad.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Recuperación</w:t>
            </w:r>
          </w:p>
        </w:tc>
        <w:tc>
          <w:tcPr>
            <w:tcW w:type="dxa" w:w="28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Define pruebas del proceso y de accesos, responsables y aceptación.</w:t>
            </w:r>
          </w:p>
        </w:tc>
        <w:tc>
          <w:tcPr>
            <w:tcW w:type="dxa" w:w="260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Incluye algunas comprobaciones, sin cubrir todos los responsables.</w:t>
            </w:r>
          </w:p>
        </w:tc>
        <w:tc>
          <w:tcPr>
            <w:tcW w:type="dxa" w:w="2665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Da por resuelto el caso por reiniciar o por tener una copia.</w:t>
            </w:r>
          </w:p>
        </w:tc>
      </w:tr>
    </w:tbl>
    <w:p>
      <w:pPr>
        <w:spacing w:after="40"/>
      </w:pPr>
    </w:p>
    <w:p>
      <w:pPr>
        <w:pStyle w:val="Heading1"/>
      </w:pPr>
      <w:r>
        <w:t>Ejemplo de aviso interno</w:t>
      </w:r>
    </w:p>
    <w:p>
      <w:r>
        <w:rPr>
          <w:b w:val="0"/>
        </w:rPr>
        <w:t>A las 08:05 se recibió la alarma E1 en C1. E2 muestra un cambio de desescarche que mantenimiento no autorizó, según E3. Hemos documentado E4 y E5; todavía no conocemos la causa. Proponemos coordinar la atención al proceso, la valoración de calidad y la restricción del acceso remoto con los responsables. Las medidas están pendientes de autorización y verificación. Solicitamos acordar las pruebas y responsables de recuperación.</w:t>
      </w:r>
    </w:p>
    <w:p>
      <w:pPr>
        <w:pStyle w:val="Heading1"/>
      </w:pPr>
      <w:r>
        <w:t>Adaptación al grupo</w:t>
      </w:r>
    </w:p>
    <w:p>
      <w:r>
        <w:rPr>
          <w:b w:val="0"/>
        </w:rPr>
        <w:t>Para un nivel inicial, proporciona los roles y pide clasificar hechos y propuestas. Para ampliar, añade registros sintéticos de un cambio autorizado o de un acceso indebido y exige revisar las conclusiones. Actualiza la solución y la rúbrica al cambiar las evidencias.</w:t>
      </w:r>
    </w:p>
    <w:p>
      <w:pPr>
        <w:pStyle w:val="Heading1"/>
      </w:pPr>
      <w:r>
        <w:t>Contexto y referencias</w:t>
      </w:r>
    </w:p>
    <w:p>
      <w:r>
        <w:rPr>
          <w:b w:val="0"/>
        </w:rPr>
        <w:t>La alerta real del CERT-FR del 12 de octubre de 2026 contextualiza el ejercicio ficticio. No se atribuye la actividad ni su revisión a los autores de los manuales. No reproduce soluciones privadas.</w:t>
      </w:r>
    </w:p>
    <w:p>
      <w:r>
        <w:rPr>
          <w:b w:val="0"/>
          <w:sz w:val="17"/>
        </w:rPr>
        <w:t>CERT-FR · Alerta CERTFR-2026-ALE-012, primera versión del 12 de octubre de 2026</w:t>
        <w:br/>
        <w:t>https://cert.ssi.gouv.fr/alerte/CERTFR-2026-ALE-012/</w:t>
      </w:r>
    </w:p>
    <w:p>
      <w:r>
        <w:rPr>
          <w:b w:val="0"/>
          <w:sz w:val="17"/>
        </w:rPr>
        <w:t>INCIBE-CERT · Buenas prácticas para la recuperación de sistemas industriales I, 13 de julio de 2023</w:t>
        <w:br/>
        <w:t>https://www.incibe.es/incibe-cert/blog/buenas-practicas-para-la-recuperacion-de-sistemas-industriales-i</w:t>
      </w:r>
    </w:p>
    <w:sectPr w:rsidR="00FC693F" w:rsidRPr="0006063C" w:rsidSect="00034616">
      <w:footerReference w:type="default" r:id="rId9"/>
      <w:pgSz w:w="12240" w:h="15840"/>
      <w:pgMar w:top="935" w:right="1020" w:bottom="935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Recursos Paraninfo | Caso ficticio | Actividad docente | 13 octubre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5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Solución del caso de refrigeración y rúbrica</dc:title>
  <dc:subject>Material docente editable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